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MS/MRS HARDIN COUNTY FAIR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BEAUTY PAGEANT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RULES AND REGULATIONS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sz w:val="10"/>
          <w:szCs w:val="10"/>
        </w:rPr>
      </w:pPr>
      <w:bookmarkStart w:colFirst="0" w:colLast="0" w:name="_heading=h.h14pv4fpo0b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sz w:val="10"/>
          <w:szCs w:val="10"/>
        </w:rPr>
      </w:pPr>
      <w:bookmarkStart w:colFirst="0" w:colLast="0" w:name="_heading=h.rrklkhrs52q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sz w:val="10"/>
          <w:szCs w:val="10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Contestants can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single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/not married, married, divorced or widowed and can have children; cannot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a criminal record of any kind.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contestant must be 22 years of age by October 31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be residents of Hardin County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no exceptions.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Entry fee for the contest shall be $50.00.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 contestants are required to bring a copy of their birth certificate and it must reflect that the contestant was a natural born female; no exceptions.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Contestants will compete in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attire selected by the pageant committee.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Cameras or cell phones are not allowed backstage. Use of these electronic devices by contestants and/or family and friends can disqualify any contestant during the pageant and such devices will be confiscated for the remainder of the pageant.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Pageant Committee and judges’ decisions are FINAL.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 winner of the pageant agrees to: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Represent the county at the state pageant in January the following year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Required to attend any designated functions while holding this title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Required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wear the crown and sash awarded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with the title when participating in parades and/or other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Hardin County Fair Board, its affiliates or volunteers are in no way to be held responsible for any damages, thefts, or accidents.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Hardin County Fair Board, its affiliates or volunteers are not to be held responsible in any way for any disqualification of winners and/or contestants. Grounds for disqualification can be BUT are not limited to: untrue statements on registration forms, misconduct, obscene, foul language, unruly/unbecoming behavior including that on social media and/or the internet such as porn and any other reasons the pageant committee may deem as necessary.  The board will make any/all decisions and they will be final.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Updated 4.23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00A4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tpm4inGuIvDLv6xCKwml7Uphug==">CgMxLjAyDmguaDE0cHY0ZnBvMGJ4Mg5oLnJya2xraHJzNTJxbDIIaC5namRneHM4AHIhMWVBYWpmQmRaanRQLUJkOHM5VVZTQ19fN0dyNFdDTnBS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2017-05-21T19:45:00Z</dcterms:created>
  <dc:creator>Michelle Tonietti-Goodman</dc:creator>
</cp:coreProperties>
</file>